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7D6" w:rsidRPr="00C607D6" w:rsidRDefault="00C607D6" w:rsidP="00E753C2">
      <w:pPr>
        <w:spacing w:line="480" w:lineRule="auto"/>
        <w:rPr>
          <w:b/>
          <w:szCs w:val="24"/>
        </w:rPr>
      </w:pPr>
      <w:r w:rsidRPr="00C607D6">
        <w:rPr>
          <w:b/>
          <w:szCs w:val="24"/>
        </w:rPr>
        <w:t>United States — Measures Affecting the Cross-Border Supply of Gambling and Betting Services</w:t>
      </w:r>
    </w:p>
    <w:p w:rsidR="00E753C2" w:rsidRPr="00C607D6" w:rsidRDefault="005A45AC" w:rsidP="00E753C2">
      <w:pPr>
        <w:spacing w:line="480" w:lineRule="auto"/>
      </w:pPr>
      <w:r>
        <w:t>World Trade Organization</w:t>
      </w:r>
      <w:r w:rsidR="00E753C2" w:rsidRPr="00C607D6">
        <w:t xml:space="preserve"> </w:t>
      </w:r>
    </w:p>
    <w:p w:rsidR="00C607D6" w:rsidRPr="00C607D6" w:rsidRDefault="005A45AC" w:rsidP="00E753C2">
      <w:pPr>
        <w:spacing w:line="480" w:lineRule="auto"/>
      </w:pPr>
      <w:r>
        <w:t>January 28,</w:t>
      </w:r>
      <w:bookmarkStart w:id="0" w:name="_GoBack"/>
      <w:bookmarkEnd w:id="0"/>
      <w:r>
        <w:t xml:space="preserve"> 2013</w:t>
      </w:r>
    </w:p>
    <w:p w:rsidR="00C607D6" w:rsidRPr="00C607D6" w:rsidRDefault="00C607D6" w:rsidP="00E753C2">
      <w:pPr>
        <w:spacing w:line="480" w:lineRule="auto"/>
      </w:pPr>
      <w:r w:rsidRPr="00C607D6">
        <w:rPr>
          <w:rStyle w:val="dsnumber"/>
          <w:szCs w:val="24"/>
        </w:rPr>
        <w:t>DS285.</w:t>
      </w:r>
    </w:p>
    <w:p w:rsidR="00793F25" w:rsidRPr="00484FA1" w:rsidRDefault="00C11AC9" w:rsidP="00927094">
      <w:pPr>
        <w:spacing w:line="480" w:lineRule="auto"/>
      </w:pPr>
      <w:r>
        <w:rPr>
          <w:b/>
        </w:rPr>
        <w:t xml:space="preserve">Facts: </w:t>
      </w:r>
      <w:r w:rsidR="002C586D" w:rsidRPr="00814573">
        <w:t xml:space="preserve"> Antigua and Bar</w:t>
      </w:r>
      <w:r w:rsidR="00814573">
        <w:t>bud</w:t>
      </w:r>
      <w:r w:rsidR="002C586D" w:rsidRPr="00814573">
        <w:t xml:space="preserve">a </w:t>
      </w:r>
      <w:r>
        <w:t xml:space="preserve">reported </w:t>
      </w:r>
      <w:r w:rsidR="002C586D" w:rsidRPr="00814573">
        <w:t xml:space="preserve">the United </w:t>
      </w:r>
      <w:r w:rsidR="00814573" w:rsidRPr="00814573">
        <w:t>States</w:t>
      </w:r>
      <w:r>
        <w:t xml:space="preserve"> to the World Trade Organization (WTO)</w:t>
      </w:r>
      <w:r w:rsidR="00CD44D2">
        <w:t xml:space="preserve"> for banning foreign online betting services</w:t>
      </w:r>
      <w:r w:rsidR="00814573" w:rsidRPr="00814573">
        <w:t>. Consultations</w:t>
      </w:r>
      <w:r w:rsidR="002C586D" w:rsidRPr="00814573">
        <w:t xml:space="preserve"> were requested on 13 march 2003, with the dispute panel requested on 12 </w:t>
      </w:r>
      <w:r w:rsidR="00814573" w:rsidRPr="00814573">
        <w:t>June</w:t>
      </w:r>
      <w:r w:rsidR="002C586D" w:rsidRPr="00814573">
        <w:t xml:space="preserve"> same year. On July 21</w:t>
      </w:r>
      <w:r w:rsidR="002C586D" w:rsidRPr="00814573">
        <w:rPr>
          <w:vertAlign w:val="superscript"/>
        </w:rPr>
        <w:t>st</w:t>
      </w:r>
      <w:r w:rsidR="002C586D" w:rsidRPr="00814573">
        <w:t xml:space="preserve"> the panel was established and composed on 25 August same year. On November</w:t>
      </w:r>
      <w:r w:rsidR="00814573" w:rsidRPr="00814573">
        <w:t xml:space="preserve"> 2004 the panel report is circulated which finds the United States had errored. The United States appeals the decision but the decision of the panel is upheld by the appellate body on 7</w:t>
      </w:r>
      <w:r w:rsidR="00814573" w:rsidRPr="00814573">
        <w:rPr>
          <w:vertAlign w:val="superscript"/>
        </w:rPr>
        <w:t>th</w:t>
      </w:r>
      <w:r w:rsidR="00814573" w:rsidRPr="00814573">
        <w:t xml:space="preserve"> April 2005. The United States fails to comply with the verdict. Antigua applies for authority to retaliate and the permission is granted on 28</w:t>
      </w:r>
      <w:r w:rsidR="00814573" w:rsidRPr="00814573">
        <w:rPr>
          <w:vertAlign w:val="superscript"/>
        </w:rPr>
        <w:t>th</w:t>
      </w:r>
      <w:r w:rsidR="00814573" w:rsidRPr="00814573">
        <w:t xml:space="preserve"> July 2013. </w:t>
      </w:r>
      <w:r w:rsidR="002C586D" w:rsidRPr="00814573">
        <w:t xml:space="preserve"> </w:t>
      </w:r>
    </w:p>
    <w:p w:rsidR="00CB03C8" w:rsidRDefault="00484FA1" w:rsidP="00F955F6">
      <w:pPr>
        <w:spacing w:line="480" w:lineRule="auto"/>
      </w:pPr>
      <w:r>
        <w:t xml:space="preserve"> </w:t>
      </w:r>
      <w:r w:rsidRPr="00484FA1">
        <w:rPr>
          <w:b/>
        </w:rPr>
        <w:t>Issues Involved:</w:t>
      </w:r>
      <w:r>
        <w:t xml:space="preserve"> </w:t>
      </w:r>
      <w:r w:rsidR="00D954C8">
        <w:t xml:space="preserve">The contention was </w:t>
      </w:r>
      <w:r w:rsidR="00BC614D">
        <w:t xml:space="preserve">introduction of laws by </w:t>
      </w:r>
      <w:r w:rsidR="00D954C8">
        <w:t>the United States</w:t>
      </w:r>
      <w:r w:rsidR="00BC614D">
        <w:t xml:space="preserve"> which prohibited cross- border</w:t>
      </w:r>
      <w:r w:rsidR="00D954C8">
        <w:t xml:space="preserve"> supply of gambling services. </w:t>
      </w:r>
      <w:r w:rsidR="006E5AFA">
        <w:t>Antigua and Barbuda logged the complaint to the WTO where both countries were members. She argued that the actions of United State to limit free trade was against article</w:t>
      </w:r>
      <w:r w:rsidR="00D13CF1">
        <w:t>s II, VI, VIII, XI, XVI, XVII of GATS.</w:t>
      </w:r>
      <w:r w:rsidR="00BC614D">
        <w:t xml:space="preserve"> The United States argued that it was not in contravention of the GATS articles and her decision was protected under article of XIV on the Moral defense. Under this provision a country could restrict trade if it will leads to compromise </w:t>
      </w:r>
      <w:r w:rsidR="00330187">
        <w:t>of morality</w:t>
      </w:r>
      <w:r w:rsidR="00BC614D">
        <w:t xml:space="preserve"> of her citizens. </w:t>
      </w:r>
      <w:r w:rsidR="00330187">
        <w:t xml:space="preserve">After the </w:t>
      </w:r>
      <w:r w:rsidR="00BC50C8">
        <w:t>United States</w:t>
      </w:r>
      <w:r w:rsidR="00330187">
        <w:t xml:space="preserve"> failed to </w:t>
      </w:r>
      <w:r w:rsidR="00BC50C8">
        <w:t>convince</w:t>
      </w:r>
      <w:r w:rsidR="00330187">
        <w:t xml:space="preserve"> the panel of its assertion, </w:t>
      </w:r>
      <w:r w:rsidR="00E77AE5">
        <w:t>she</w:t>
      </w:r>
      <w:r w:rsidR="00330187">
        <w:t xml:space="preserve"> </w:t>
      </w:r>
      <w:r w:rsidR="00BC50C8">
        <w:t>sought to modify its commitments to exclude gambling services from its recreational services commitment exclusively as provided by article XXI GATS.</w:t>
      </w:r>
      <w:r w:rsidR="00E77AE5">
        <w:t xml:space="preserve"> When the </w:t>
      </w:r>
      <w:r w:rsidR="00E77AE5">
        <w:lastRenderedPageBreak/>
        <w:t>United States failed to comply with the decisions of the appellate body, Antigua applied for permission to retaliate by interrupting some of its obligations under the Agreement on Trade-Related Aspects of Intellectual Property Rights (TRIPS).</w:t>
      </w:r>
      <w:r w:rsidR="00547A2F">
        <w:tab/>
      </w:r>
    </w:p>
    <w:p w:rsidR="005F0267" w:rsidRPr="00484FA1" w:rsidRDefault="00484FA1" w:rsidP="00484FA1">
      <w:pPr>
        <w:spacing w:line="480" w:lineRule="auto"/>
        <w:rPr>
          <w:b/>
        </w:rPr>
      </w:pPr>
      <w:r w:rsidRPr="005F0267">
        <w:rPr>
          <w:b/>
        </w:rPr>
        <w:t>Decision Given</w:t>
      </w:r>
      <w:r>
        <w:rPr>
          <w:b/>
        </w:rPr>
        <w:t xml:space="preserve"> : </w:t>
      </w:r>
      <w:r w:rsidRPr="00484FA1">
        <w:t>The</w:t>
      </w:r>
      <w:r w:rsidR="00F86561" w:rsidRPr="00484FA1">
        <w:t xml:space="preserve"> </w:t>
      </w:r>
      <w:r w:rsidR="00F86561" w:rsidRPr="0083473C">
        <w:t>panel found that the United States was in breach of GATS commitment as betting was included under the subsector- other recreational services excluding sporting. The wire act and other US enacted laws were found to counterproductive to GATS articles XVI: 1 and XVI: 2 which deals with market access. A decision to exercise judicial economy was reached by the panel as found in article XI</w:t>
      </w:r>
      <w:r w:rsidR="0083473C" w:rsidRPr="0083473C">
        <w:t xml:space="preserve"> on payments and</w:t>
      </w:r>
      <w:r w:rsidR="00F86561" w:rsidRPr="0083473C">
        <w:t xml:space="preserve"> transfers and </w:t>
      </w:r>
      <w:r w:rsidR="0083473C" w:rsidRPr="0083473C">
        <w:t>XVII involving national treatment.</w:t>
      </w:r>
      <w:r w:rsidR="00FF5BFF">
        <w:t xml:space="preserve"> These decisions were upheld by the appellate body after the US appealed the ruling of the panel. </w:t>
      </w:r>
      <w:r w:rsidR="00C00FAD">
        <w:t xml:space="preserve">The </w:t>
      </w:r>
      <w:r w:rsidR="00180BA5">
        <w:t>United</w:t>
      </w:r>
      <w:r w:rsidR="00C00FAD">
        <w:t xml:space="preserve"> States was found </w:t>
      </w:r>
      <w:r w:rsidR="00180BA5">
        <w:t>non-compliant</w:t>
      </w:r>
      <w:r w:rsidR="00C00FAD">
        <w:t xml:space="preserve"> with the decisions of the panel, the appellate body and the compliance panel. On January 28, 2013 Antigua and Barbuda was granted authorization to suspend obligations and concessions to the United States by the </w:t>
      </w:r>
      <w:r w:rsidR="00180BA5">
        <w:t xml:space="preserve">DSB consistent with the decisions of the arbiter. </w:t>
      </w:r>
      <w:r w:rsidR="00C00FAD">
        <w:t xml:space="preserve"> </w:t>
      </w:r>
    </w:p>
    <w:p w:rsidR="00F63508" w:rsidRPr="00484FA1" w:rsidRDefault="00484FA1" w:rsidP="00484FA1">
      <w:pPr>
        <w:spacing w:line="480" w:lineRule="auto"/>
        <w:rPr>
          <w:b/>
        </w:rPr>
      </w:pPr>
      <w:r w:rsidRPr="004A4024">
        <w:rPr>
          <w:b/>
        </w:rPr>
        <w:t>My Opinion</w:t>
      </w:r>
      <w:r>
        <w:rPr>
          <w:b/>
        </w:rPr>
        <w:t xml:space="preserve">: </w:t>
      </w:r>
      <w:r w:rsidR="008573E2">
        <w:t>T</w:t>
      </w:r>
      <w:r w:rsidR="000B1E34">
        <w:t>he WTO gave a fair judgment. Having signed GATS</w:t>
      </w:r>
      <w:r w:rsidR="004E6469">
        <w:t>,</w:t>
      </w:r>
      <w:r w:rsidR="000B1E34">
        <w:t xml:space="preserve"> the United States was bound to comply with the articles. The reasons raised by the United States on Moral defense are substantial as gambling is addictive. However, the only way to evade conflict with other nations was to modify its GATS agreement to exclude online gambling. They did that and compensated the countries affected according to the treaty</w:t>
      </w:r>
      <w:r w:rsidR="00B80979">
        <w:t>.</w:t>
      </w:r>
      <w:r w:rsidR="005824E2">
        <w:t xml:space="preserve"> While the remedy given by WTO for reiteration was satisfactory, it was </w:t>
      </w:r>
      <w:r w:rsidR="004E6469">
        <w:t>challenging</w:t>
      </w:r>
      <w:r w:rsidR="005824E2">
        <w:t xml:space="preserve"> to implement</w:t>
      </w:r>
      <w:r w:rsidR="006D22BC">
        <w:t xml:space="preserve"> </w:t>
      </w:r>
      <w:r>
        <w:t>the decision</w:t>
      </w:r>
      <w:r w:rsidR="005824E2">
        <w:t xml:space="preserve"> because of other </w:t>
      </w:r>
      <w:r w:rsidR="00BF5ABA">
        <w:t xml:space="preserve">existing </w:t>
      </w:r>
      <w:r w:rsidR="005824E2">
        <w:t xml:space="preserve">trade agreements </w:t>
      </w:r>
      <w:r w:rsidR="004E6469">
        <w:t>that</w:t>
      </w:r>
      <w:r w:rsidR="005824E2">
        <w:t xml:space="preserve"> protect Intellectual</w:t>
      </w:r>
      <w:r w:rsidR="00A90D3B">
        <w:t xml:space="preserve"> Property</w:t>
      </w:r>
      <w:r w:rsidR="004E6469">
        <w:t>,</w:t>
      </w:r>
      <w:r w:rsidR="00A90D3B">
        <w:t xml:space="preserve"> such as </w:t>
      </w:r>
      <w:r w:rsidR="004E6469">
        <w:t xml:space="preserve">the </w:t>
      </w:r>
      <w:r w:rsidR="00F145C0">
        <w:t>Caribbean</w:t>
      </w:r>
      <w:r w:rsidR="00A90D3B">
        <w:t xml:space="preserve"> </w:t>
      </w:r>
      <w:r w:rsidR="00F145C0">
        <w:t>Basin Economic Recovery Act</w:t>
      </w:r>
      <w:r w:rsidR="006413AF">
        <w:t xml:space="preserve"> and other Paris agreements. </w:t>
      </w:r>
    </w:p>
    <w:sectPr w:rsidR="00F63508" w:rsidRPr="00484FA1" w:rsidSect="005D1DA1">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E75" w:rsidRDefault="00601E75" w:rsidP="00195B0A">
      <w:pPr>
        <w:spacing w:after="0" w:line="240" w:lineRule="auto"/>
      </w:pPr>
      <w:r>
        <w:separator/>
      </w:r>
    </w:p>
  </w:endnote>
  <w:endnote w:type="continuationSeparator" w:id="0">
    <w:p w:rsidR="00601E75" w:rsidRDefault="00601E75" w:rsidP="0019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E75" w:rsidRDefault="00601E75" w:rsidP="00195B0A">
      <w:pPr>
        <w:spacing w:after="0" w:line="240" w:lineRule="auto"/>
      </w:pPr>
      <w:r>
        <w:separator/>
      </w:r>
    </w:p>
  </w:footnote>
  <w:footnote w:type="continuationSeparator" w:id="0">
    <w:p w:rsidR="00601E75" w:rsidRDefault="00601E75" w:rsidP="00195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DA1" w:rsidRDefault="005D1DA1">
    <w:pPr>
      <w:pStyle w:val="Header"/>
      <w:jc w:val="right"/>
    </w:pPr>
    <w:r>
      <w:tab/>
    </w:r>
    <w:r>
      <w:tab/>
    </w:r>
    <w:sdt>
      <w:sdtPr>
        <w:id w:val="-1585678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443E">
          <w:rPr>
            <w:noProof/>
          </w:rPr>
          <w:t>2</w:t>
        </w:r>
        <w:r>
          <w:rPr>
            <w:noProof/>
          </w:rPr>
          <w:fldChar w:fldCharType="end"/>
        </w:r>
      </w:sdtContent>
    </w:sdt>
  </w:p>
  <w:p w:rsidR="00195B0A" w:rsidRDefault="00195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xtTQ2MbO0NDIyNzNR0lEKTi0uzszPAykwqgUAK1yHOywAAAA="/>
  </w:docVars>
  <w:rsids>
    <w:rsidRoot w:val="00CB03C8"/>
    <w:rsid w:val="00025673"/>
    <w:rsid w:val="00044D79"/>
    <w:rsid w:val="00054BFF"/>
    <w:rsid w:val="000756D8"/>
    <w:rsid w:val="00094B08"/>
    <w:rsid w:val="000B1E34"/>
    <w:rsid w:val="00101885"/>
    <w:rsid w:val="00106BFF"/>
    <w:rsid w:val="00175C4F"/>
    <w:rsid w:val="00180BA5"/>
    <w:rsid w:val="00184041"/>
    <w:rsid w:val="00195B0A"/>
    <w:rsid w:val="002078AA"/>
    <w:rsid w:val="002162EF"/>
    <w:rsid w:val="00220CC3"/>
    <w:rsid w:val="00244195"/>
    <w:rsid w:val="00247046"/>
    <w:rsid w:val="00264505"/>
    <w:rsid w:val="002723AC"/>
    <w:rsid w:val="002C586D"/>
    <w:rsid w:val="002D443E"/>
    <w:rsid w:val="002E18FD"/>
    <w:rsid w:val="002F6C42"/>
    <w:rsid w:val="00321EF6"/>
    <w:rsid w:val="00330187"/>
    <w:rsid w:val="003512E1"/>
    <w:rsid w:val="003B33F7"/>
    <w:rsid w:val="003C44F0"/>
    <w:rsid w:val="003E40BA"/>
    <w:rsid w:val="003F60B4"/>
    <w:rsid w:val="00484FA1"/>
    <w:rsid w:val="004A2F44"/>
    <w:rsid w:val="004A4024"/>
    <w:rsid w:val="004B7BF8"/>
    <w:rsid w:val="004E6469"/>
    <w:rsid w:val="00511629"/>
    <w:rsid w:val="00547A2F"/>
    <w:rsid w:val="00555C4A"/>
    <w:rsid w:val="005824E2"/>
    <w:rsid w:val="00583739"/>
    <w:rsid w:val="00592721"/>
    <w:rsid w:val="005A45AC"/>
    <w:rsid w:val="005B6C75"/>
    <w:rsid w:val="005D1DA1"/>
    <w:rsid w:val="005D3D78"/>
    <w:rsid w:val="005F0267"/>
    <w:rsid w:val="005F1588"/>
    <w:rsid w:val="00601E75"/>
    <w:rsid w:val="00612D89"/>
    <w:rsid w:val="006413AF"/>
    <w:rsid w:val="006D22BC"/>
    <w:rsid w:val="006E5AFA"/>
    <w:rsid w:val="00724B91"/>
    <w:rsid w:val="00755B6D"/>
    <w:rsid w:val="00786FAC"/>
    <w:rsid w:val="00793F25"/>
    <w:rsid w:val="00814573"/>
    <w:rsid w:val="00815188"/>
    <w:rsid w:val="0083473C"/>
    <w:rsid w:val="0084673E"/>
    <w:rsid w:val="008573E2"/>
    <w:rsid w:val="008D56BD"/>
    <w:rsid w:val="008F4521"/>
    <w:rsid w:val="009058BB"/>
    <w:rsid w:val="00922B67"/>
    <w:rsid w:val="00927094"/>
    <w:rsid w:val="009D6C56"/>
    <w:rsid w:val="00A36942"/>
    <w:rsid w:val="00A90D3B"/>
    <w:rsid w:val="00A9273C"/>
    <w:rsid w:val="00AF6B35"/>
    <w:rsid w:val="00B24434"/>
    <w:rsid w:val="00B80979"/>
    <w:rsid w:val="00B87F20"/>
    <w:rsid w:val="00BB6958"/>
    <w:rsid w:val="00BC50C8"/>
    <w:rsid w:val="00BC614D"/>
    <w:rsid w:val="00BE2831"/>
    <w:rsid w:val="00BF5ABA"/>
    <w:rsid w:val="00C00F86"/>
    <w:rsid w:val="00C00FAD"/>
    <w:rsid w:val="00C11AC9"/>
    <w:rsid w:val="00C607D6"/>
    <w:rsid w:val="00C9636F"/>
    <w:rsid w:val="00CB03C8"/>
    <w:rsid w:val="00CB4B0E"/>
    <w:rsid w:val="00CD44D2"/>
    <w:rsid w:val="00D06B94"/>
    <w:rsid w:val="00D13CF1"/>
    <w:rsid w:val="00D202B7"/>
    <w:rsid w:val="00D954C8"/>
    <w:rsid w:val="00E1143E"/>
    <w:rsid w:val="00E14B40"/>
    <w:rsid w:val="00E34BC0"/>
    <w:rsid w:val="00E37855"/>
    <w:rsid w:val="00E753C2"/>
    <w:rsid w:val="00E77AE5"/>
    <w:rsid w:val="00F145C0"/>
    <w:rsid w:val="00F257EA"/>
    <w:rsid w:val="00F37816"/>
    <w:rsid w:val="00F63508"/>
    <w:rsid w:val="00F726F9"/>
    <w:rsid w:val="00F73931"/>
    <w:rsid w:val="00F823D7"/>
    <w:rsid w:val="00F86561"/>
    <w:rsid w:val="00F955F6"/>
    <w:rsid w:val="00FA7F63"/>
    <w:rsid w:val="00FF5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FA15C"/>
  <w15:chartTrackingRefBased/>
  <w15:docId w15:val="{9E3B70BA-E5C5-476F-97B7-9E9661C3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B0A"/>
  </w:style>
  <w:style w:type="paragraph" w:styleId="Footer">
    <w:name w:val="footer"/>
    <w:basedOn w:val="Normal"/>
    <w:link w:val="FooterChar"/>
    <w:uiPriority w:val="99"/>
    <w:unhideWhenUsed/>
    <w:rsid w:val="0019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B0A"/>
  </w:style>
  <w:style w:type="character" w:customStyle="1" w:styleId="dsnumber">
    <w:name w:val="dsnumber"/>
    <w:basedOn w:val="DefaultParagraphFont"/>
    <w:rsid w:val="00C6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4614">
      <w:bodyDiv w:val="1"/>
      <w:marLeft w:val="0"/>
      <w:marRight w:val="0"/>
      <w:marTop w:val="0"/>
      <w:marBottom w:val="0"/>
      <w:divBdr>
        <w:top w:val="none" w:sz="0" w:space="0" w:color="auto"/>
        <w:left w:val="none" w:sz="0" w:space="0" w:color="auto"/>
        <w:bottom w:val="none" w:sz="0" w:space="0" w:color="auto"/>
        <w:right w:val="none" w:sz="0" w:space="0" w:color="auto"/>
      </w:divBdr>
    </w:div>
    <w:div w:id="161699010">
      <w:bodyDiv w:val="1"/>
      <w:marLeft w:val="0"/>
      <w:marRight w:val="0"/>
      <w:marTop w:val="0"/>
      <w:marBottom w:val="0"/>
      <w:divBdr>
        <w:top w:val="none" w:sz="0" w:space="0" w:color="auto"/>
        <w:left w:val="none" w:sz="0" w:space="0" w:color="auto"/>
        <w:bottom w:val="none" w:sz="0" w:space="0" w:color="auto"/>
        <w:right w:val="none" w:sz="0" w:space="0" w:color="auto"/>
      </w:divBdr>
    </w:div>
    <w:div w:id="1451122052">
      <w:bodyDiv w:val="1"/>
      <w:marLeft w:val="0"/>
      <w:marRight w:val="0"/>
      <w:marTop w:val="0"/>
      <w:marBottom w:val="0"/>
      <w:divBdr>
        <w:top w:val="none" w:sz="0" w:space="0" w:color="auto"/>
        <w:left w:val="none" w:sz="0" w:space="0" w:color="auto"/>
        <w:bottom w:val="none" w:sz="0" w:space="0" w:color="auto"/>
        <w:right w:val="none" w:sz="0" w:space="0" w:color="auto"/>
      </w:divBdr>
    </w:div>
    <w:div w:id="2112506091">
      <w:bodyDiv w:val="1"/>
      <w:marLeft w:val="0"/>
      <w:marRight w:val="0"/>
      <w:marTop w:val="0"/>
      <w:marBottom w:val="0"/>
      <w:divBdr>
        <w:top w:val="none" w:sz="0" w:space="0" w:color="auto"/>
        <w:left w:val="none" w:sz="0" w:space="0" w:color="auto"/>
        <w:bottom w:val="none" w:sz="0" w:space="0" w:color="auto"/>
        <w:right w:val="none" w:sz="0" w:space="0" w:color="auto"/>
      </w:divBdr>
    </w:div>
    <w:div w:id="21167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Woh09</b:Tag>
    <b:SourceType>JournalArticle</b:SourceType>
    <b:Guid>{C84FE263-6627-4DC0-A60B-33FC070F7878}</b:Guid>
    <b:Title>The antigua-united states online gambling dispute.</b:Title>
    <b:Year>2009</b:Year>
    <b:Author>
      <b:Author>
        <b:NameList>
          <b:Person>
            <b:Last>Wohl</b:Last>
            <b:First>I</b:First>
          </b:Person>
        </b:NameList>
      </b:Author>
    </b:Author>
    <b:JournalName>J. Int'l Com. &amp; Econ.</b:JournalName>
    <b:Pages>2,127</b:Pages>
    <b:RefOrder>2</b:RefOrder>
  </b:Source>
  <b:Source>
    <b:Tag>Woh091</b:Tag>
    <b:SourceType>JournalArticle</b:SourceType>
    <b:Guid>{9B86AE04-E925-4565-92C6-27AE003C4F64}</b:Guid>
    <b:Author>
      <b:Author>
        <b:Corporate>Wohl, Isaac</b:Corporate>
      </b:Author>
    </b:Author>
    <b:Title>The antigua-united states online gambling dispute.</b:Title>
    <b:JournalName> J. Int'l Com. &amp; Econ.</b:JournalName>
    <b:Year>2009</b:Year>
    <b:Pages>2,127</b:Pages>
    <b:RefOrder>1</b:RefOrder>
  </b:Source>
</b:Sources>
</file>

<file path=customXml/itemProps1.xml><?xml version="1.0" encoding="utf-8"?>
<ds:datastoreItem xmlns:ds="http://schemas.openxmlformats.org/officeDocument/2006/customXml" ds:itemID="{C65C5467-B206-4054-AD2A-A1F7CC585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2020-10-10T18:31:00Z</dcterms:created>
  <dcterms:modified xsi:type="dcterms:W3CDTF">2020-10-10T18:31:00Z</dcterms:modified>
</cp:coreProperties>
</file>